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78" w:rsidRPr="00A56F98" w:rsidRDefault="00551949" w:rsidP="002C687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3D1513">
        <w:rPr>
          <w:b/>
          <w:color w:val="FF0000"/>
          <w:sz w:val="24"/>
          <w:szCs w:val="24"/>
        </w:rPr>
        <w:t>3</w:t>
      </w:r>
      <w:r w:rsidR="002C6878">
        <w:rPr>
          <w:b/>
          <w:color w:val="FF0000"/>
          <w:sz w:val="24"/>
          <w:szCs w:val="24"/>
        </w:rPr>
        <w:t xml:space="preserve"> </w:t>
      </w:r>
      <w:r w:rsidR="002C6878" w:rsidRPr="00C3480E">
        <w:rPr>
          <w:b/>
          <w:color w:val="FF0000"/>
          <w:sz w:val="24"/>
          <w:szCs w:val="24"/>
        </w:rPr>
        <w:t>– ENGAGEMENT DU CANDIDAT RELATIF AUX DOCUMENTS EN 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référencé n° </w:t>
            </w:r>
            <w:r w:rsidR="00EC120B" w:rsidRPr="003D1513">
              <w:rPr>
                <w:b/>
                <w:sz w:val="24"/>
                <w:szCs w:val="24"/>
              </w:rPr>
              <w:t xml:space="preserve">DAF </w:t>
            </w:r>
            <w:r w:rsidR="003D1513" w:rsidRPr="003D1513">
              <w:rPr>
                <w:b/>
                <w:sz w:val="24"/>
                <w:szCs w:val="24"/>
              </w:rPr>
              <w:t>2025000302</w:t>
            </w:r>
            <w:r w:rsidR="00EC120B" w:rsidRPr="003D1513">
              <w:rPr>
                <w:b/>
                <w:sz w:val="24"/>
                <w:szCs w:val="24"/>
              </w:rPr>
              <w:t xml:space="preserve"> / projet </w:t>
            </w:r>
            <w:r w:rsidR="003D1513" w:rsidRPr="003D1513">
              <w:rPr>
                <w:b/>
                <w:sz w:val="24"/>
                <w:szCs w:val="24"/>
              </w:rPr>
              <w:t>24058</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portant sur le marché référencé </w:t>
            </w:r>
            <w:r w:rsidR="00EC120B">
              <w:rPr>
                <w:b/>
                <w:sz w:val="24"/>
                <w:szCs w:val="24"/>
              </w:rPr>
              <w:t xml:space="preserve">n° </w:t>
            </w:r>
            <w:r w:rsidR="003D1513" w:rsidRPr="003D1513">
              <w:rPr>
                <w:b/>
                <w:sz w:val="24"/>
                <w:szCs w:val="24"/>
              </w:rPr>
              <w:t>DAF 2025000302 / projet 24058</w:t>
            </w: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 xml:space="preserve">Le candidat reconnait que les informations et supports portant la mention « Diffusion Restreinte » listés à </w:t>
            </w:r>
            <w:r w:rsidRPr="00490D48">
              <w:rPr>
                <w:sz w:val="24"/>
                <w:szCs w:val="24"/>
              </w:rPr>
              <w:t>l’annexe n°</w:t>
            </w:r>
            <w:r w:rsidR="00650CC2">
              <w:rPr>
                <w:sz w:val="24"/>
                <w:szCs w:val="24"/>
              </w:rPr>
              <w:t>2</w:t>
            </w:r>
            <w:r w:rsidRPr="00490D48">
              <w:rPr>
                <w:sz w:val="24"/>
                <w:szCs w:val="24"/>
              </w:rPr>
              <w:t xml:space="preserve"> du règlement de la consultation,</w:t>
            </w:r>
            <w:r>
              <w:rPr>
                <w:sz w:val="24"/>
                <w:szCs w:val="24"/>
              </w:rPr>
              <w:t xml:space="preserve">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w:t>
            </w:r>
            <w:r w:rsidRPr="008709C1">
              <w:rPr>
                <w:sz w:val="24"/>
                <w:szCs w:val="24"/>
              </w:rPr>
              <w:t xml:space="preserve">groupement </w:t>
            </w:r>
            <w:r w:rsidR="00551949" w:rsidRPr="008709C1">
              <w:rPr>
                <w:sz w:val="24"/>
                <w:szCs w:val="24"/>
              </w:rPr>
              <w:t>d’opérateurs économiques</w:t>
            </w:r>
            <w:r w:rsidRPr="008709C1">
              <w:rPr>
                <w:sz w:val="24"/>
                <w:szCs w:val="24"/>
              </w:rPr>
              <w:t>, soit</w:t>
            </w:r>
            <w:r>
              <w:rPr>
                <w:sz w:val="24"/>
                <w:szCs w:val="24"/>
              </w:rPr>
              <w:t xml:space="preserve">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 xml:space="preserve">à informer les personnes ayant accès, dans le cadre de la procédure de passation du marché de </w:t>
            </w:r>
            <w:r w:rsidRPr="003D1513">
              <w:rPr>
                <w:sz w:val="24"/>
                <w:szCs w:val="24"/>
              </w:rPr>
              <w:t>référence</w:t>
            </w:r>
            <w:r w:rsidRPr="003D1513">
              <w:rPr>
                <w:b/>
                <w:sz w:val="24"/>
                <w:szCs w:val="24"/>
              </w:rPr>
              <w:t xml:space="preserve"> n° </w:t>
            </w:r>
            <w:r w:rsidR="00490D48" w:rsidRPr="003D1513">
              <w:rPr>
                <w:b/>
                <w:sz w:val="24"/>
                <w:szCs w:val="24"/>
              </w:rPr>
              <w:t xml:space="preserve">DAF </w:t>
            </w:r>
            <w:r w:rsidR="003D1513" w:rsidRPr="003D1513">
              <w:rPr>
                <w:b/>
                <w:sz w:val="24"/>
                <w:szCs w:val="24"/>
              </w:rPr>
              <w:t>2025000302</w:t>
            </w:r>
            <w:r>
              <w:rPr>
                <w:sz w:val="24"/>
                <w:szCs w:val="24"/>
              </w:rPr>
              <w:t>,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 xml:space="preserve">l’instruction générale interministérielle n° 1300 sur la protection du secret de la défense nationale annexée à l’arrêté du </w:t>
            </w:r>
            <w:r w:rsidR="00472872">
              <w:rPr>
                <w:sz w:val="24"/>
                <w:szCs w:val="24"/>
              </w:rPr>
              <w:t>13</w:t>
            </w:r>
            <w:r>
              <w:rPr>
                <w:sz w:val="24"/>
                <w:szCs w:val="24"/>
              </w:rPr>
              <w:t xml:space="preserve"> novembre 20</w:t>
            </w:r>
            <w:r w:rsidR="00472872">
              <w:rPr>
                <w:sz w:val="24"/>
                <w:szCs w:val="24"/>
              </w:rPr>
              <w:t>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w:t>
            </w:r>
            <w:r w:rsidRPr="00490D48">
              <w:rPr>
                <w:sz w:val="24"/>
                <w:szCs w:val="24"/>
              </w:rPr>
              <w:t xml:space="preserve">listés en annexe </w:t>
            </w:r>
            <w:r w:rsidR="00650CC2">
              <w:rPr>
                <w:sz w:val="24"/>
                <w:szCs w:val="24"/>
              </w:rPr>
              <w:t>2</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l’acheteur public. La liste et l’identité des personnes concernées sont transmises par le candidat au correspondant de la consultation visé à l’article </w:t>
            </w:r>
            <w:r w:rsidR="004B5B9F">
              <w:rPr>
                <w:b/>
                <w:sz w:val="24"/>
                <w:szCs w:val="24"/>
              </w:rPr>
              <w:t>1</w:t>
            </w:r>
            <w:r>
              <w:rPr>
                <w:sz w:val="24"/>
                <w:szCs w:val="24"/>
              </w:rPr>
              <w:t xml:space="preserve"> du présent règlement de la consultation par </w:t>
            </w:r>
            <w:proofErr w:type="gramStart"/>
            <w:r>
              <w:rPr>
                <w:sz w:val="24"/>
                <w:szCs w:val="24"/>
              </w:rPr>
              <w:t>mail;</w:t>
            </w:r>
            <w:proofErr w:type="gramEnd"/>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w:t>
            </w:r>
            <w:r w:rsidRPr="00490D48">
              <w:rPr>
                <w:sz w:val="24"/>
                <w:szCs w:val="24"/>
              </w:rPr>
              <w:t xml:space="preserve">en annexe </w:t>
            </w:r>
            <w:r w:rsidR="00650CC2">
              <w:rPr>
                <w:sz w:val="24"/>
                <w:szCs w:val="24"/>
              </w:rPr>
              <w:t>2</w:t>
            </w:r>
            <w:r>
              <w:rPr>
                <w:sz w:val="24"/>
                <w:szCs w:val="24"/>
              </w:rPr>
              <w:t xml:space="preserve"> et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 xml:space="preserve">8.  La reproduction, y compris l’impression papier et la copie à partir de support informatique, des documents et supports figurant </w:t>
            </w:r>
            <w:r w:rsidRPr="00490D48">
              <w:rPr>
                <w:sz w:val="24"/>
                <w:szCs w:val="24"/>
              </w:rPr>
              <w:t xml:space="preserve">en annexe </w:t>
            </w:r>
            <w:r w:rsidR="00650CC2">
              <w:rPr>
                <w:sz w:val="24"/>
                <w:szCs w:val="24"/>
              </w:rPr>
              <w:t>2</w:t>
            </w:r>
            <w:r>
              <w:rPr>
                <w:b/>
                <w:sz w:val="24"/>
                <w:szCs w:val="24"/>
              </w:rPr>
              <w:t xml:space="preserve"> </w:t>
            </w:r>
            <w:r>
              <w:rPr>
                <w:sz w:val="24"/>
                <w:szCs w:val="24"/>
              </w:rPr>
              <w:t xml:space="preserve">et 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4B5B9F" w:rsidRDefault="004B5B9F" w:rsidP="00760C4E">
            <w:pPr>
              <w:jc w:val="both"/>
              <w:rPr>
                <w:sz w:val="24"/>
                <w:szCs w:val="24"/>
              </w:rPr>
            </w:pPr>
          </w:p>
          <w:p w:rsidR="004B5B9F" w:rsidRDefault="004B5B9F" w:rsidP="00760C4E">
            <w:pPr>
              <w:jc w:val="both"/>
              <w:rPr>
                <w:sz w:val="24"/>
                <w:szCs w:val="24"/>
              </w:rPr>
            </w:pPr>
          </w:p>
          <w:p w:rsidR="005501DA" w:rsidRDefault="005501D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rsidR="00A56F98" w:rsidRPr="003D1513"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w:t>
            </w:r>
            <w:r w:rsidRPr="00490D48">
              <w:rPr>
                <w:sz w:val="24"/>
                <w:szCs w:val="24"/>
              </w:rPr>
              <w:t xml:space="preserve">figurant en annexe </w:t>
            </w:r>
            <w:r w:rsidR="00650CC2">
              <w:rPr>
                <w:sz w:val="24"/>
                <w:szCs w:val="24"/>
              </w:rPr>
              <w:t>2</w:t>
            </w:r>
            <w:r>
              <w:rPr>
                <w:sz w:val="24"/>
                <w:szCs w:val="24"/>
              </w:rPr>
              <w:t xml:space="preserve"> et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w:t>
            </w:r>
            <w:r w:rsidR="00CA0B3C" w:rsidRPr="003D1513">
              <w:rPr>
                <w:sz w:val="24"/>
                <w:szCs w:val="24"/>
              </w:rPr>
              <w:t>d’opérateurs économiques</w:t>
            </w:r>
            <w:r w:rsidRPr="003D1513">
              <w:rPr>
                <w:sz w:val="24"/>
                <w:szCs w:val="24"/>
              </w:rPr>
              <w:t xml:space="preserve">, soit dans le cadre d’une sous-traitance ou d’une </w:t>
            </w:r>
            <w:proofErr w:type="spellStart"/>
            <w:r w:rsidRPr="003D1513">
              <w:rPr>
                <w:sz w:val="24"/>
                <w:szCs w:val="24"/>
              </w:rPr>
              <w:t>sous-contractance</w:t>
            </w:r>
            <w:proofErr w:type="spellEnd"/>
            <w:r w:rsidRPr="003D1513">
              <w:rPr>
                <w:sz w:val="24"/>
                <w:szCs w:val="24"/>
              </w:rPr>
              <w:t>) ;</w:t>
            </w:r>
          </w:p>
          <w:p w:rsidR="00A56F98" w:rsidRDefault="00A56F98" w:rsidP="00760C4E">
            <w:pPr>
              <w:ind w:left="426" w:hanging="426"/>
              <w:jc w:val="both"/>
              <w:rPr>
                <w:sz w:val="24"/>
                <w:szCs w:val="24"/>
              </w:rPr>
            </w:pPr>
            <w:r w:rsidRPr="003D1513">
              <w:rPr>
                <w:sz w:val="24"/>
                <w:szCs w:val="24"/>
              </w:rPr>
              <w:t xml:space="preserve">- </w:t>
            </w:r>
            <w:r w:rsidRPr="003D1513">
              <w:rPr>
                <w:sz w:val="24"/>
                <w:szCs w:val="24"/>
              </w:rPr>
              <w:tab/>
              <w:t>effacer toutes les versions informatiques de ces documents et supports en ayant</w:t>
            </w:r>
            <w:r>
              <w:rPr>
                <w:sz w:val="24"/>
                <w:szCs w:val="24"/>
              </w:rPr>
              <w:t xml:space="preserve"> recours à des produits de sécurité homologués par l’agence nationale de la sécurité des systèmes d’information (ANSSI) du type logiciel ACID </w:t>
            </w:r>
            <w:proofErr w:type="spellStart"/>
            <w:r>
              <w:rPr>
                <w:sz w:val="24"/>
                <w:szCs w:val="24"/>
              </w:rPr>
              <w:t>c</w:t>
            </w:r>
            <w:bookmarkStart w:id="0" w:name="_GoBack"/>
            <w:bookmarkEnd w:id="0"/>
            <w:r>
              <w:rPr>
                <w:sz w:val="24"/>
                <w:szCs w:val="24"/>
              </w:rPr>
              <w:t>ryptofiler</w:t>
            </w:r>
            <w:proofErr w:type="spellEnd"/>
            <w:r>
              <w:rPr>
                <w:sz w:val="24"/>
                <w:szCs w:val="24"/>
              </w:rPr>
              <w:t xml:space="preserve">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98" w:rsidRDefault="00A56F98" w:rsidP="00A56F98">
      <w:r>
        <w:separator/>
      </w:r>
    </w:p>
  </w:endnote>
  <w:endnote w:type="continuationSeparator" w:id="0">
    <w:p w:rsidR="00A56F98" w:rsidRDefault="00A56F98"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98" w:rsidRDefault="00A56F98" w:rsidP="00A56F98">
      <w:r>
        <w:separator/>
      </w:r>
    </w:p>
  </w:footnote>
  <w:footnote w:type="continuationSeparator" w:id="0">
    <w:p w:rsidR="00A56F98" w:rsidRDefault="00A56F98"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0A7BE0"/>
    <w:rsid w:val="002C6878"/>
    <w:rsid w:val="003A5397"/>
    <w:rsid w:val="003D1513"/>
    <w:rsid w:val="00472872"/>
    <w:rsid w:val="00490D48"/>
    <w:rsid w:val="004A5A96"/>
    <w:rsid w:val="004B5B9F"/>
    <w:rsid w:val="005501DA"/>
    <w:rsid w:val="00551949"/>
    <w:rsid w:val="005C2074"/>
    <w:rsid w:val="00650CC2"/>
    <w:rsid w:val="007A3B98"/>
    <w:rsid w:val="007E354C"/>
    <w:rsid w:val="008709C1"/>
    <w:rsid w:val="00A56F98"/>
    <w:rsid w:val="00C3448F"/>
    <w:rsid w:val="00C75761"/>
    <w:rsid w:val="00CA0B3C"/>
    <w:rsid w:val="00CB595C"/>
    <w:rsid w:val="00D801C7"/>
    <w:rsid w:val="00EC12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21D1B"/>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1118</Words>
  <Characters>6150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PINTO Chrystel TSEF 2CL</cp:lastModifiedBy>
  <cp:revision>7</cp:revision>
  <cp:lastPrinted>2020-06-04T08:09:00Z</cp:lastPrinted>
  <dcterms:created xsi:type="dcterms:W3CDTF">2021-12-09T07:54:00Z</dcterms:created>
  <dcterms:modified xsi:type="dcterms:W3CDTF">2025-04-08T06:35:00Z</dcterms:modified>
</cp:coreProperties>
</file>